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CF4AB4">
        <w:rPr>
          <w:rStyle w:val="Bodytext11Exact"/>
          <w:rFonts w:ascii="Arial" w:hAnsi="Arial" w:cs="Arial"/>
          <w:sz w:val="22"/>
          <w:szCs w:val="22"/>
        </w:rPr>
        <w:t>10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885CCF">
        <w:rPr>
          <w:rFonts w:ascii="Arial" w:hAnsi="Arial" w:cs="Arial"/>
        </w:rPr>
        <w:t>pełnienia funkcji eksperta zewnętrznego w ramach przeprowadzenia szkolenia</w:t>
      </w:r>
      <w:r w:rsidR="00DA7DF6" w:rsidRPr="00AF52F8">
        <w:rPr>
          <w:rFonts w:ascii="Arial" w:hAnsi="Arial" w:cs="Arial"/>
        </w:rPr>
        <w:t xml:space="preserve">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„</w:t>
      </w:r>
      <w:r w:rsidR="00885CCF" w:rsidRPr="00885CCF">
        <w:rPr>
          <w:rFonts w:ascii="Arial" w:hAnsi="Arial" w:cs="Arial"/>
        </w:rPr>
        <w:t xml:space="preserve">Regulacja emocji – perspektywa </w:t>
      </w:r>
      <w:proofErr w:type="spellStart"/>
      <w:r w:rsidR="00885CCF" w:rsidRPr="00885CCF">
        <w:rPr>
          <w:rFonts w:ascii="Arial" w:hAnsi="Arial" w:cs="Arial"/>
        </w:rPr>
        <w:t>poliwagalna</w:t>
      </w:r>
      <w:proofErr w:type="spellEnd"/>
      <w:r w:rsidR="00DA7DF6" w:rsidRPr="00AF52F8">
        <w:rPr>
          <w:rFonts w:ascii="Arial" w:hAnsi="Arial" w:cs="Arial"/>
        </w:rPr>
        <w:t xml:space="preserve">”  </w:t>
      </w:r>
      <w:r w:rsidR="00885CCF" w:rsidRPr="00885CCF">
        <w:rPr>
          <w:rFonts w:ascii="Arial" w:hAnsi="Arial" w:cs="Arial"/>
        </w:rPr>
        <w:t>dla kandydatów którzy są zakwalifikowani do przysposobienia dziecka oraz pełniący</w:t>
      </w:r>
      <w:r w:rsidR="000B2425">
        <w:rPr>
          <w:rFonts w:ascii="Arial" w:hAnsi="Arial" w:cs="Arial"/>
        </w:rPr>
        <w:t>ch funkcję rodziców adopcyjnych</w:t>
      </w:r>
      <w:r w:rsidR="00885CCF" w:rsidRPr="00885CCF">
        <w:rPr>
          <w:rFonts w:ascii="Arial" w:hAnsi="Arial" w:cs="Arial"/>
        </w:rPr>
        <w:t xml:space="preserve"> oraz kadry ośrodka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885CCF">
        <w:rPr>
          <w:rFonts w:ascii="Arial" w:hAnsi="Arial" w:cs="Arial"/>
        </w:rPr>
        <w:t>go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</w:t>
      </w:r>
      <w:r w:rsidR="000B2425" w:rsidRPr="000B2425">
        <w:rPr>
          <w:rFonts w:ascii="Arial" w:eastAsia="Times New Roman" w:hAnsi="Arial" w:cs="Arial"/>
          <w:lang w:eastAsia="pl-PL"/>
        </w:rPr>
        <w:t xml:space="preserve">pełnienia funkcji eksperta zewnętrznego w ramach przeprowadzenia szkolenia pn. „Regulacja emocji – perspektywa </w:t>
      </w:r>
      <w:proofErr w:type="spellStart"/>
      <w:r w:rsidR="000B2425" w:rsidRPr="000B2425">
        <w:rPr>
          <w:rFonts w:ascii="Arial" w:eastAsia="Times New Roman" w:hAnsi="Arial" w:cs="Arial"/>
          <w:lang w:eastAsia="pl-PL"/>
        </w:rPr>
        <w:t>poliwagalna</w:t>
      </w:r>
      <w:proofErr w:type="spellEnd"/>
      <w:r w:rsidR="000B2425" w:rsidRPr="000B2425">
        <w:rPr>
          <w:rFonts w:ascii="Arial" w:eastAsia="Times New Roman" w:hAnsi="Arial" w:cs="Arial"/>
          <w:lang w:eastAsia="pl-PL"/>
        </w:rPr>
        <w:t>”  dla kandydatów którzy są zakwalifikowani do przysposobienia dziecka oraz pełniących funkcję rodziców adopcyjnych oraz kadry ośrodka</w:t>
      </w:r>
      <w:r w:rsidR="000B2425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0B2425">
        <w:rPr>
          <w:rFonts w:ascii="Arial" w:eastAsia="Times New Roman" w:hAnsi="Arial" w:cs="Arial"/>
          <w:lang w:eastAsia="pl-PL"/>
        </w:rPr>
        <w:t>01.10</w:t>
      </w:r>
      <w:r w:rsidR="0037589D" w:rsidRPr="00AF52F8">
        <w:rPr>
          <w:rFonts w:ascii="Arial" w:eastAsia="Times New Roman" w:hAnsi="Arial" w:cs="Arial"/>
          <w:lang w:eastAsia="pl-PL"/>
        </w:rPr>
        <w:t>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0B2425">
        <w:rPr>
          <w:rFonts w:ascii="Arial" w:eastAsia="Times New Roman" w:hAnsi="Arial" w:cs="Arial"/>
          <w:lang w:eastAsia="pl-PL"/>
        </w:rPr>
        <w:t>1.12</w:t>
      </w:r>
      <w:r w:rsidR="007A3AF4" w:rsidRPr="00AF52F8">
        <w:rPr>
          <w:rFonts w:ascii="Arial" w:eastAsia="Times New Roman" w:hAnsi="Arial" w:cs="Arial"/>
          <w:lang w:eastAsia="pl-PL"/>
        </w:rPr>
        <w:t>.2025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0B2425">
        <w:rPr>
          <w:rFonts w:ascii="Arial" w:eastAsia="Times New Roman" w:hAnsi="Arial" w:cs="Arial"/>
          <w:lang w:eastAsia="pl-PL"/>
        </w:rPr>
        <w:t xml:space="preserve"> 16</w:t>
      </w:r>
      <w:r w:rsidR="000C2AC7">
        <w:rPr>
          <w:rFonts w:ascii="Arial" w:eastAsia="Times New Roman" w:hAnsi="Arial" w:cs="Arial"/>
          <w:lang w:eastAsia="pl-PL"/>
        </w:rPr>
        <w:t xml:space="preserve"> godzin w ciągu 2-óch dni </w:t>
      </w:r>
      <w:r w:rsidRPr="00136487">
        <w:rPr>
          <w:rFonts w:ascii="Arial" w:eastAsia="Times New Roman" w:hAnsi="Arial" w:cs="Arial"/>
          <w:lang w:eastAsia="pl-PL"/>
        </w:rPr>
        <w:t xml:space="preserve"> 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Pr="00AF52F8" w:rsidRDefault="000B2425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01.10.2025r. -  31.12.2025 </w:t>
      </w:r>
      <w:r w:rsidR="0037589D" w:rsidRPr="00AF52F8">
        <w:rPr>
          <w:rFonts w:ascii="Arial" w:eastAsia="Times New Roman" w:hAnsi="Arial" w:cs="Arial"/>
          <w:lang w:eastAsia="pl-PL"/>
        </w:rPr>
        <w:t xml:space="preserve">r. </w:t>
      </w:r>
      <w:r w:rsidR="00684994">
        <w:rPr>
          <w:rFonts w:ascii="Arial" w:eastAsia="Times New Roman" w:hAnsi="Arial" w:cs="Arial"/>
          <w:lang w:eastAsia="pl-PL"/>
        </w:rPr>
        <w:t>(</w:t>
      </w:r>
      <w:r w:rsidR="00784DD0" w:rsidRPr="00AF52F8">
        <w:rPr>
          <w:rFonts w:ascii="Arial" w:eastAsia="Times New Roman" w:hAnsi="Arial" w:cs="Arial"/>
          <w:lang w:eastAsia="pl-PL"/>
        </w:rPr>
        <w:t>w siedzibie ROA w  Łodzi),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 xml:space="preserve">: </w:t>
      </w:r>
      <w:r w:rsidR="000B2425">
        <w:rPr>
          <w:rFonts w:ascii="Arial" w:eastAsia="Times New Roman" w:hAnsi="Arial" w:cs="Arial"/>
          <w:lang w:eastAsia="pl-PL"/>
        </w:rPr>
        <w:t>maksymalna</w:t>
      </w:r>
      <w:r w:rsidR="007A3AF4" w:rsidRPr="00AF52F8">
        <w:rPr>
          <w:rFonts w:ascii="Arial" w:eastAsia="Times New Roman" w:hAnsi="Arial" w:cs="Arial"/>
          <w:lang w:eastAsia="pl-PL"/>
        </w:rPr>
        <w:t xml:space="preserve"> </w:t>
      </w:r>
      <w:r w:rsidR="000C2AC7">
        <w:rPr>
          <w:rFonts w:ascii="Arial" w:eastAsia="Times New Roman" w:hAnsi="Arial" w:cs="Arial"/>
          <w:lang w:eastAsia="pl-PL"/>
        </w:rPr>
        <w:t>-</w:t>
      </w:r>
      <w:r w:rsidR="000B2425">
        <w:rPr>
          <w:rFonts w:ascii="Arial" w:eastAsia="Times New Roman" w:hAnsi="Arial" w:cs="Arial"/>
          <w:lang w:eastAsia="pl-PL"/>
        </w:rPr>
        <w:t>25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lastRenderedPageBreak/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 27/29, 91-420 Łódź.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CF4AB4" w:rsidRPr="00C97C51" w:rsidRDefault="00C97C51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Pr="00C97C51">
        <w:rPr>
          <w:rFonts w:ascii="Arial" w:hAnsi="Arial" w:cs="Arial"/>
        </w:rPr>
        <w:t xml:space="preserve">Kwota, jaką Zamawiający zamierza przeznaczyć na realizację </w:t>
      </w:r>
      <w:r w:rsidRPr="00C97C51">
        <w:rPr>
          <w:rFonts w:ascii="Arial" w:hAnsi="Arial" w:cs="Arial"/>
        </w:rPr>
        <w:t xml:space="preserve"> zadania</w:t>
      </w:r>
      <w:r>
        <w:rPr>
          <w:rFonts w:ascii="Arial" w:hAnsi="Arial" w:cs="Arial"/>
        </w:rPr>
        <w:t>:</w:t>
      </w:r>
      <w:r w:rsidRPr="00C97C51">
        <w:rPr>
          <w:rFonts w:ascii="Arial" w:hAnsi="Arial" w:cs="Arial"/>
        </w:rPr>
        <w:t xml:space="preserve"> </w:t>
      </w:r>
      <w:r w:rsidR="00CF4AB4" w:rsidRPr="00C97C51">
        <w:rPr>
          <w:rFonts w:ascii="Arial" w:eastAsia="Arial" w:hAnsi="Arial" w:cs="Arial"/>
          <w:lang w:eastAsia="pl-PL"/>
        </w:rPr>
        <w:t>7 000,00 zł brutto</w:t>
      </w:r>
      <w:r>
        <w:rPr>
          <w:rFonts w:ascii="Arial" w:eastAsia="Arial" w:hAnsi="Arial" w:cs="Arial"/>
          <w:lang w:eastAsia="pl-PL"/>
        </w:rPr>
        <w:t>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2344BD">
      <w:pPr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AF52F8" w:rsidRDefault="00915DBB" w:rsidP="00E24F13">
      <w:pPr>
        <w:pStyle w:val="Akapitzlist"/>
        <w:tabs>
          <w:tab w:val="decimal" w:pos="360"/>
          <w:tab w:val="decimal" w:pos="426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9E6464">
        <w:rPr>
          <w:rFonts w:ascii="Arial" w:eastAsia="Times New Roman" w:hAnsi="Arial" w:cs="Arial"/>
          <w:lang w:eastAsia="pl-PL"/>
        </w:rPr>
        <w:t xml:space="preserve">01.10.2025r. -  31.12.2025 </w:t>
      </w:r>
      <w:r w:rsidR="00606B46" w:rsidRPr="00AF52F8">
        <w:rPr>
          <w:rFonts w:ascii="Arial" w:eastAsia="Times New Roman" w:hAnsi="Arial" w:cs="Arial"/>
          <w:lang w:eastAsia="pl-PL"/>
        </w:rPr>
        <w:t>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</w:t>
      </w:r>
      <w:r w:rsidR="009E6464" w:rsidRPr="009E6464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9E6464">
        <w:rPr>
          <w:rFonts w:ascii="Arial" w:hAnsi="Arial" w:cs="Arial"/>
          <w:spacing w:val="4"/>
        </w:rPr>
        <w:t>poliwagalna</w:t>
      </w:r>
      <w:proofErr w:type="spellEnd"/>
      <w:r w:rsidRPr="00AF52F8">
        <w:rPr>
          <w:rFonts w:ascii="Arial" w:hAnsi="Arial" w:cs="Arial"/>
          <w:spacing w:val="4"/>
        </w:rPr>
        <w:t xml:space="preserve"> 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za</w:t>
      </w:r>
      <w:r w:rsidR="00F565E8" w:rsidRPr="00AF52F8">
        <w:rPr>
          <w:rFonts w:ascii="Arial" w:hAnsi="Arial" w:cs="Arial"/>
          <w:spacing w:val="4"/>
        </w:rPr>
        <w:t xml:space="preserve">kresu </w:t>
      </w:r>
      <w:r w:rsidR="009E6464" w:rsidRPr="00A57C0B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A57C0B">
        <w:rPr>
          <w:rFonts w:ascii="Arial" w:hAnsi="Arial" w:cs="Arial"/>
          <w:spacing w:val="4"/>
        </w:rPr>
        <w:t>poliwagalna</w:t>
      </w:r>
      <w:proofErr w:type="spellEnd"/>
      <w:r w:rsidR="009E6464" w:rsidRPr="00A57C0B">
        <w:rPr>
          <w:rFonts w:ascii="Arial" w:hAnsi="Arial" w:cs="Arial"/>
          <w:spacing w:val="4"/>
        </w:rPr>
        <w:t xml:space="preserve"> </w:t>
      </w:r>
      <w:r w:rsidR="00F565E8" w:rsidRPr="00AF52F8">
        <w:rPr>
          <w:rFonts w:ascii="Arial" w:hAnsi="Arial" w:cs="Arial"/>
          <w:spacing w:val="4"/>
        </w:rPr>
        <w:t>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szkolenia z </w:t>
      </w:r>
      <w:r w:rsidR="009E6464" w:rsidRPr="00A57C0B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A57C0B">
        <w:rPr>
          <w:rFonts w:ascii="Arial" w:hAnsi="Arial" w:cs="Arial"/>
          <w:spacing w:val="4"/>
        </w:rPr>
        <w:t>poliwagalna</w:t>
      </w:r>
      <w:proofErr w:type="spellEnd"/>
      <w:r w:rsidR="009E6464" w:rsidRPr="00A57C0B">
        <w:rPr>
          <w:rFonts w:ascii="Arial" w:hAnsi="Arial" w:cs="Arial"/>
          <w:spacing w:val="4"/>
        </w:rPr>
        <w:t xml:space="preserve"> </w:t>
      </w:r>
      <w:r w:rsidRPr="00AF52F8">
        <w:rPr>
          <w:rFonts w:ascii="Arial" w:hAnsi="Arial" w:cs="Arial"/>
          <w:spacing w:val="4"/>
        </w:rPr>
        <w:t>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</w:t>
      </w:r>
      <w:r w:rsidR="00606B46" w:rsidRPr="00AF52F8">
        <w:rPr>
          <w:rFonts w:ascii="Arial" w:hAnsi="Arial" w:cs="Arial"/>
          <w:spacing w:val="4"/>
        </w:rPr>
        <w:t>i więcej</w:t>
      </w:r>
      <w:r w:rsidRPr="00AF52F8">
        <w:rPr>
          <w:rFonts w:ascii="Arial" w:hAnsi="Arial" w:cs="Arial"/>
          <w:spacing w:val="4"/>
        </w:rPr>
        <w:t xml:space="preserve"> </w:t>
      </w:r>
      <w:r w:rsidR="00684994" w:rsidRPr="00AF52F8">
        <w:rPr>
          <w:rFonts w:ascii="Arial" w:hAnsi="Arial" w:cs="Arial"/>
          <w:spacing w:val="4"/>
        </w:rPr>
        <w:t xml:space="preserve">szkoleń </w:t>
      </w:r>
      <w:r w:rsidRPr="00AF52F8">
        <w:rPr>
          <w:rFonts w:ascii="Arial" w:hAnsi="Arial" w:cs="Arial"/>
          <w:spacing w:val="4"/>
        </w:rPr>
        <w:t xml:space="preserve">z zakresu </w:t>
      </w:r>
      <w:r w:rsidR="009E6464" w:rsidRPr="009E6464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9E6464" w:rsidRPr="009E6464">
        <w:rPr>
          <w:rFonts w:ascii="Arial" w:hAnsi="Arial" w:cs="Arial"/>
          <w:spacing w:val="4"/>
        </w:rPr>
        <w:t>poliwagalna</w:t>
      </w:r>
      <w:proofErr w:type="spellEnd"/>
      <w:r w:rsidRPr="00AF52F8">
        <w:rPr>
          <w:rFonts w:ascii="Arial" w:hAnsi="Arial" w:cs="Arial"/>
          <w:spacing w:val="4"/>
        </w:rPr>
        <w:t xml:space="preserve"> 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punktowa w kryterium „Doświad</w:t>
      </w:r>
      <w:r w:rsidR="002344BD">
        <w:rPr>
          <w:rFonts w:ascii="Arial" w:eastAsia="Arial" w:hAnsi="Arial" w:cs="Arial"/>
          <w:spacing w:val="4"/>
        </w:rPr>
        <w:t>czenie W</w:t>
      </w:r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</w:t>
      </w:r>
      <w:r w:rsidRPr="00AF52F8">
        <w:rPr>
          <w:rFonts w:ascii="Arial" w:eastAsia="Arial" w:hAnsi="Arial" w:cs="Arial"/>
          <w:spacing w:val="4"/>
        </w:rPr>
        <w:lastRenderedPageBreak/>
        <w:t>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Zamawiający przyzna punkty w niniejszym kryter</w:t>
      </w:r>
      <w:r w:rsidR="009A625A">
        <w:rPr>
          <w:rFonts w:ascii="Arial" w:eastAsia="Arial" w:hAnsi="Arial" w:cs="Arial"/>
          <w:spacing w:val="4"/>
        </w:rPr>
        <w:t>ium wyłącznie w przypadku, gdy W</w:t>
      </w:r>
      <w:r w:rsidRPr="00AF52F8">
        <w:rPr>
          <w:rFonts w:ascii="Arial" w:eastAsia="Arial" w:hAnsi="Arial" w:cs="Arial"/>
          <w:spacing w:val="4"/>
        </w:rPr>
        <w:t>ykonawca prawidłowo wykaże liczbę przeprowadzonych szkoleń w minimalnej lub 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2344BD">
      <w:pPr>
        <w:spacing w:after="0"/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9E6464" w:rsidRP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- ukończone wyższe studia magisterskie z zakresu pedagogiki - 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psychotraumatologii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</w:t>
      </w:r>
    </w:p>
    <w:p w:rsidR="009E6464" w:rsidRP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- doświadczenie 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psychotraumatologa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praktyka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Somatic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Expercing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metody leczenia traumy wg P.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Leve’a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SOMA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Embodiment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EmotionAid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Facilitator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,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provider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Safe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&amp; Sound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Protocol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(SSP),</w:t>
      </w:r>
    </w:p>
    <w:p w:rsidR="009E6464" w:rsidRP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- posiadane doświadczenie w problematyce terapii zaburzeń </w:t>
      </w:r>
      <w:proofErr w:type="spellStart"/>
      <w:r w:rsidRPr="009E6464">
        <w:rPr>
          <w:rFonts w:ascii="Arial" w:eastAsia="Arial" w:hAnsi="Arial" w:cs="Arial"/>
          <w:color w:val="000000" w:themeColor="text1"/>
          <w:lang w:eastAsia="pl-PL"/>
        </w:rPr>
        <w:t>posttraumatycznych</w:t>
      </w:r>
      <w:proofErr w:type="spellEnd"/>
      <w:r w:rsidRPr="009E6464">
        <w:rPr>
          <w:rFonts w:ascii="Arial" w:eastAsia="Arial" w:hAnsi="Arial" w:cs="Arial"/>
          <w:color w:val="000000" w:themeColor="text1"/>
          <w:lang w:eastAsia="pl-PL"/>
        </w:rPr>
        <w:t xml:space="preserve"> u dzieci, dynamiki procesów wychowawczych w rodzinach adopcyjnych i zastępczych,</w:t>
      </w:r>
    </w:p>
    <w:p w:rsidR="009E6464" w:rsidRDefault="009E6464" w:rsidP="002344BD">
      <w:pPr>
        <w:spacing w:after="0"/>
        <w:ind w:left="576" w:firstLine="132"/>
        <w:rPr>
          <w:rFonts w:ascii="Arial" w:eastAsia="Arial" w:hAnsi="Arial" w:cs="Arial"/>
          <w:color w:val="000000" w:themeColor="text1"/>
          <w:lang w:eastAsia="pl-PL"/>
        </w:rPr>
      </w:pPr>
      <w:r w:rsidRPr="009E6464">
        <w:rPr>
          <w:rFonts w:ascii="Arial" w:eastAsia="Arial" w:hAnsi="Arial" w:cs="Arial"/>
          <w:color w:val="000000" w:themeColor="text1"/>
          <w:lang w:eastAsia="pl-PL"/>
        </w:rPr>
        <w:t>- posiadane doświadczenie w prowadzeniu grupowych zajęć warsztatowych  dla dorosłych  tj. rodziców adopcyjnych bą</w:t>
      </w:r>
      <w:r w:rsidR="00420E9C">
        <w:rPr>
          <w:rFonts w:ascii="Arial" w:eastAsia="Arial" w:hAnsi="Arial" w:cs="Arial"/>
          <w:color w:val="000000" w:themeColor="text1"/>
          <w:lang w:eastAsia="pl-PL"/>
        </w:rPr>
        <w:t>dź zastępczych (minimum 2 lata).</w:t>
      </w:r>
    </w:p>
    <w:p w:rsidR="00420E9C" w:rsidRPr="00420E9C" w:rsidRDefault="00420E9C" w:rsidP="002344BD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9E6464" w:rsidRDefault="004A010E" w:rsidP="004A010E">
      <w:pPr>
        <w:ind w:left="576" w:firstLine="132"/>
        <w:rPr>
          <w:rFonts w:ascii="Arial" w:eastAsia="Arial" w:hAnsi="Arial" w:cs="Arial"/>
          <w:color w:val="000000" w:themeColor="text1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C97C51">
        <w:rPr>
          <w:rFonts w:ascii="Arial" w:eastAsia="Arial" w:hAnsi="Arial" w:cs="Arial"/>
          <w:lang w:eastAsia="pl-PL"/>
        </w:rPr>
        <w:t>15.07</w:t>
      </w:r>
      <w:bookmarkStart w:id="0" w:name="_GoBack"/>
      <w:bookmarkEnd w:id="0"/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>„Usługa w zakresie przeprowadzenia szkolenia pn. „</w:t>
      </w:r>
      <w:r w:rsidR="000421D2" w:rsidRPr="009E6464">
        <w:rPr>
          <w:rFonts w:ascii="Arial" w:hAnsi="Arial" w:cs="Arial"/>
          <w:spacing w:val="4"/>
        </w:rPr>
        <w:t xml:space="preserve">Regulacja emocji – perspektywa </w:t>
      </w:r>
      <w:proofErr w:type="spellStart"/>
      <w:r w:rsidR="000421D2" w:rsidRPr="009E6464">
        <w:rPr>
          <w:rFonts w:ascii="Arial" w:hAnsi="Arial" w:cs="Arial"/>
          <w:spacing w:val="4"/>
        </w:rPr>
        <w:t>poliwagalna</w:t>
      </w:r>
      <w:proofErr w:type="spellEnd"/>
      <w:r w:rsidR="004673F8" w:rsidRPr="00AF52F8">
        <w:rPr>
          <w:rFonts w:ascii="Arial" w:eastAsia="Arial" w:hAnsi="Arial" w:cs="Arial"/>
          <w:lang w:eastAsia="pl-PL"/>
        </w:rPr>
        <w:t xml:space="preserve">” </w:t>
      </w:r>
      <w:r w:rsidR="00C35B5B" w:rsidRPr="00AF52F8">
        <w:rPr>
          <w:rFonts w:ascii="Arial" w:hAnsi="Arial" w:cs="Arial"/>
        </w:rPr>
        <w:t xml:space="preserve">dla </w:t>
      </w:r>
      <w:r w:rsidR="000421D2" w:rsidRPr="000B2425">
        <w:rPr>
          <w:rFonts w:ascii="Arial" w:eastAsia="Times New Roman" w:hAnsi="Arial" w:cs="Arial"/>
          <w:lang w:eastAsia="pl-PL"/>
        </w:rPr>
        <w:t>kandydatów którzy są zakwalifikowani do przysposobienia dziecka oraz pełniących funkcję rodziców adopcyjnych oraz kadry ośrodka</w:t>
      </w:r>
      <w:r w:rsidR="000421D2">
        <w:rPr>
          <w:rFonts w:ascii="Arial" w:eastAsia="Times New Roman" w:hAnsi="Arial" w:cs="Arial"/>
          <w:lang w:eastAsia="pl-PL"/>
        </w:rPr>
        <w:t xml:space="preserve"> </w:t>
      </w:r>
      <w:r w:rsidR="00136487">
        <w:rPr>
          <w:rFonts w:ascii="Arial" w:hAnsi="Arial" w:cs="Arial"/>
        </w:rPr>
        <w:t>adopcyjn</w:t>
      </w:r>
      <w:r w:rsidR="000421D2">
        <w:rPr>
          <w:rFonts w:ascii="Arial" w:hAnsi="Arial" w:cs="Arial"/>
        </w:rPr>
        <w:t>ego</w:t>
      </w:r>
      <w:r w:rsidR="00136487">
        <w:rPr>
          <w:rFonts w:ascii="Arial" w:hAnsi="Arial" w:cs="Aria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lastRenderedPageBreak/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</w:t>
      </w:r>
      <w:r w:rsidR="009E6464" w:rsidRPr="009E6464">
        <w:rPr>
          <w:rFonts w:ascii="Arial" w:eastAsia="Arial" w:hAnsi="Arial" w:cs="Arial"/>
          <w:lang w:eastAsia="pl-PL"/>
        </w:rPr>
        <w:t xml:space="preserve">pełnienia funkcji eksperta zewnętrznego w ramach przeprowadzenia szkolenia pn. „Regulacja emocji – perspektywa </w:t>
      </w:r>
      <w:proofErr w:type="spellStart"/>
      <w:r w:rsidR="009E6464" w:rsidRPr="009E6464">
        <w:rPr>
          <w:rFonts w:ascii="Arial" w:eastAsia="Arial" w:hAnsi="Arial" w:cs="Arial"/>
          <w:lang w:eastAsia="pl-PL"/>
        </w:rPr>
        <w:t>poliwagalna</w:t>
      </w:r>
      <w:proofErr w:type="spellEnd"/>
      <w:r w:rsidR="009E6464" w:rsidRPr="009E6464">
        <w:rPr>
          <w:rFonts w:ascii="Arial" w:eastAsia="Arial" w:hAnsi="Arial" w:cs="Arial"/>
          <w:lang w:eastAsia="pl-PL"/>
        </w:rPr>
        <w:t>”  dla kandydatów którzy są zakwalifikowani do przysposobienia dziecka oraz pełniących funkcję rodziców adopcyjnych oraz kadry ośrodka</w:t>
      </w:r>
      <w:r w:rsidR="004673F8" w:rsidRPr="00AF52F8">
        <w:rPr>
          <w:rFonts w:ascii="Arial" w:eastAsia="Arial" w:hAnsi="Arial" w:cs="Arial"/>
          <w:lang w:eastAsia="pl-PL"/>
        </w:rPr>
        <w:t>, 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</w:t>
      </w:r>
      <w:r w:rsidR="009E6464" w:rsidRPr="009E6464">
        <w:rPr>
          <w:rFonts w:ascii="Arial" w:eastAsia="Arial" w:hAnsi="Arial" w:cs="Arial"/>
          <w:lang w:eastAsia="pl-PL"/>
        </w:rPr>
        <w:t>„Regulacja emo</w:t>
      </w:r>
      <w:r w:rsidR="003D1498">
        <w:rPr>
          <w:rFonts w:ascii="Arial" w:eastAsia="Arial" w:hAnsi="Arial" w:cs="Arial"/>
          <w:lang w:eastAsia="pl-PL"/>
        </w:rPr>
        <w:t xml:space="preserve">cji – perspektywa </w:t>
      </w:r>
      <w:proofErr w:type="spellStart"/>
      <w:r w:rsidR="003D1498">
        <w:rPr>
          <w:rFonts w:ascii="Arial" w:eastAsia="Arial" w:hAnsi="Arial" w:cs="Arial"/>
          <w:lang w:eastAsia="pl-PL"/>
        </w:rPr>
        <w:t>poliwagalna</w:t>
      </w:r>
      <w:proofErr w:type="spellEnd"/>
      <w:r w:rsidR="003D1498">
        <w:rPr>
          <w:rFonts w:ascii="Arial" w:eastAsia="Arial" w:hAnsi="Arial" w:cs="Arial"/>
          <w:lang w:eastAsia="pl-PL"/>
        </w:rPr>
        <w:t xml:space="preserve">” 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2344BD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2344BD">
      <w:pPr>
        <w:spacing w:after="3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2344BD">
      <w:pPr>
        <w:spacing w:after="372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2344BD">
      <w:pPr>
        <w:numPr>
          <w:ilvl w:val="0"/>
          <w:numId w:val="21"/>
        </w:numPr>
        <w:spacing w:after="0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2344BD">
      <w:pPr>
        <w:spacing w:after="0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2344BD">
      <w:pPr>
        <w:spacing w:after="0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2344BD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2344BD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2344BD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2344BD">
      <w:pPr>
        <w:spacing w:before="17" w:after="0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2344BD">
      <w:pPr>
        <w:spacing w:before="17" w:after="0" w:line="360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095056" w:rsidRDefault="00095056" w:rsidP="002344BD">
      <w:pPr>
        <w:spacing w:before="17" w:after="0" w:line="360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2344BD" w:rsidRPr="00AF52F8" w:rsidRDefault="002344BD" w:rsidP="002344BD">
      <w:pPr>
        <w:spacing w:before="17" w:after="0" w:line="360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t>Zawarcie umowy</w:t>
      </w:r>
    </w:p>
    <w:p w:rsidR="00C35B5B" w:rsidRPr="00AF52F8" w:rsidRDefault="00095056" w:rsidP="002344BD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2344BD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2344BD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2344BD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DD3213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  <w:r w:rsid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0421D2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817C1E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7FD6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0421D2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7FD6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0421D2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7FD6">
              <w:rPr>
                <w:rFonts w:ascii="Arial" w:eastAsia="Arial" w:hAnsi="Arial" w:cs="Arial"/>
                <w:spacing w:val="4"/>
                <w:sz w:val="18"/>
                <w:szCs w:val="18"/>
              </w:rPr>
              <w:t>szkolenia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</w:t>
            </w:r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„Regulacja emocji – perspektywa </w:t>
            </w:r>
            <w:proofErr w:type="spellStart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>poliwagalna</w:t>
            </w:r>
            <w:proofErr w:type="spellEnd"/>
            <w:r w:rsidR="003D1498" w:rsidRPr="003D149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” 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lastRenderedPageBreak/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0421D2" w:rsidRPr="000421D2" w:rsidRDefault="0067767E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Ukończyłem/</w:t>
      </w:r>
      <w:proofErr w:type="spellStart"/>
      <w:r w:rsidRPr="00AF52F8">
        <w:rPr>
          <w:rFonts w:ascii="Arial" w:eastAsia="Arial" w:hAnsi="Arial" w:cs="Arial"/>
        </w:rPr>
        <w:t>am</w:t>
      </w:r>
      <w:proofErr w:type="spellEnd"/>
      <w:r w:rsidRPr="00AF52F8">
        <w:rPr>
          <w:rFonts w:ascii="Arial" w:eastAsia="Arial" w:hAnsi="Arial" w:cs="Arial"/>
        </w:rPr>
        <w:t xml:space="preserve"> wyższe studia magisterskie z zakresu </w:t>
      </w:r>
      <w:r w:rsidR="003D1498" w:rsidRPr="003D1498">
        <w:rPr>
          <w:rFonts w:ascii="Arial" w:eastAsia="Arial" w:hAnsi="Arial" w:cs="Arial"/>
          <w:b/>
        </w:rPr>
        <w:t xml:space="preserve">pedagogiki -  </w:t>
      </w:r>
      <w:proofErr w:type="spellStart"/>
      <w:r w:rsidR="003D1498" w:rsidRPr="003D1498">
        <w:rPr>
          <w:rFonts w:ascii="Arial" w:eastAsia="Arial" w:hAnsi="Arial" w:cs="Arial"/>
          <w:b/>
        </w:rPr>
        <w:t>psychotraumatologii</w:t>
      </w:r>
      <w:proofErr w:type="spellEnd"/>
    </w:p>
    <w:p w:rsidR="000421D2" w:rsidRPr="000421D2" w:rsidRDefault="000421D2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0421D2">
        <w:rPr>
          <w:rFonts w:ascii="Arial" w:eastAsia="Times New Roman" w:hAnsi="Arial" w:cs="Arial"/>
          <w:lang w:eastAsia="pl-PL"/>
        </w:rPr>
        <w:t xml:space="preserve">osiadam </w:t>
      </w:r>
      <w:r w:rsidR="003D1498" w:rsidRPr="000421D2">
        <w:rPr>
          <w:rFonts w:ascii="Arial" w:eastAsia="Times New Roman" w:hAnsi="Arial" w:cs="Arial"/>
          <w:lang w:eastAsia="pl-PL"/>
        </w:rPr>
        <w:t xml:space="preserve">doświadczenie 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psychotraumatologa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praktyka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Somatic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Expercing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metody leczenia traumy wg P.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Leve’a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, SOMA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Embodiment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EmotionAid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Facilitator</w:t>
      </w:r>
      <w:proofErr w:type="spellEnd"/>
      <w:r w:rsidR="003D1498" w:rsidRPr="000421D2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="003D1498" w:rsidRPr="000421D2">
        <w:rPr>
          <w:rFonts w:ascii="Arial" w:eastAsia="Times New Roman" w:hAnsi="Arial" w:cs="Arial"/>
          <w:lang w:eastAsia="pl-PL"/>
        </w:rPr>
        <w:t>provi</w:t>
      </w:r>
      <w:r>
        <w:rPr>
          <w:rFonts w:ascii="Arial" w:eastAsia="Times New Roman" w:hAnsi="Arial" w:cs="Arial"/>
          <w:lang w:eastAsia="pl-PL"/>
        </w:rPr>
        <w:t>der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Safe</w:t>
      </w:r>
      <w:proofErr w:type="spellEnd"/>
      <w:r>
        <w:rPr>
          <w:rFonts w:ascii="Arial" w:eastAsia="Times New Roman" w:hAnsi="Arial" w:cs="Arial"/>
          <w:lang w:eastAsia="pl-PL"/>
        </w:rPr>
        <w:t xml:space="preserve"> &amp; Sound </w:t>
      </w:r>
      <w:proofErr w:type="spellStart"/>
      <w:r>
        <w:rPr>
          <w:rFonts w:ascii="Arial" w:eastAsia="Times New Roman" w:hAnsi="Arial" w:cs="Arial"/>
          <w:lang w:eastAsia="pl-PL"/>
        </w:rPr>
        <w:t>Protocol</w:t>
      </w:r>
      <w:proofErr w:type="spellEnd"/>
      <w:r>
        <w:rPr>
          <w:rFonts w:ascii="Arial" w:eastAsia="Times New Roman" w:hAnsi="Arial" w:cs="Arial"/>
          <w:lang w:eastAsia="pl-PL"/>
        </w:rPr>
        <w:t xml:space="preserve"> (SSP).</w:t>
      </w:r>
    </w:p>
    <w:p w:rsidR="000421D2" w:rsidRPr="000421D2" w:rsidRDefault="000421D2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  <w:lang w:eastAsia="pl-PL"/>
        </w:rPr>
        <w:t>P</w:t>
      </w:r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 xml:space="preserve">osiadam doświadczenie w problematyce terapii zaburzeń </w:t>
      </w:r>
      <w:proofErr w:type="spellStart"/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>posttraumatycznych</w:t>
      </w:r>
      <w:proofErr w:type="spellEnd"/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 xml:space="preserve"> u dzieci, dynamiki procesów wychowawczych w rodz</w:t>
      </w:r>
      <w:r>
        <w:rPr>
          <w:rFonts w:ascii="Arial" w:eastAsia="Arial" w:hAnsi="Arial" w:cs="Arial"/>
          <w:color w:val="000000" w:themeColor="text1"/>
          <w:lang w:eastAsia="pl-PL"/>
        </w:rPr>
        <w:t>inach adopcyjnych i zastępczych.</w:t>
      </w:r>
    </w:p>
    <w:p w:rsidR="007E146C" w:rsidRPr="000421D2" w:rsidRDefault="000421D2" w:rsidP="000421D2">
      <w:pPr>
        <w:numPr>
          <w:ilvl w:val="0"/>
          <w:numId w:val="27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  <w:lang w:eastAsia="pl-PL"/>
        </w:rPr>
        <w:t>P</w:t>
      </w:r>
      <w:r w:rsidR="003D1498" w:rsidRPr="000421D2">
        <w:rPr>
          <w:rFonts w:ascii="Arial" w:eastAsia="Arial" w:hAnsi="Arial" w:cs="Arial"/>
          <w:color w:val="000000" w:themeColor="text1"/>
          <w:lang w:eastAsia="pl-PL"/>
        </w:rPr>
        <w:t>osiadam doświadczenie w prowadzeniu grupowych zajęć warsztatowych  dla dorosłych  tj. rodziców adopcyjnych bą</w:t>
      </w:r>
      <w:r>
        <w:rPr>
          <w:rFonts w:ascii="Arial" w:eastAsia="Arial" w:hAnsi="Arial" w:cs="Arial"/>
          <w:color w:val="000000" w:themeColor="text1"/>
          <w:lang w:eastAsia="pl-PL"/>
        </w:rPr>
        <w:t>dź zastępczych (minimum 2 lata).</w:t>
      </w:r>
    </w:p>
    <w:p w:rsidR="003D1498" w:rsidRPr="00AF52F8" w:rsidRDefault="003D1498" w:rsidP="003D1498">
      <w:pPr>
        <w:pStyle w:val="Akapitzlist"/>
        <w:tabs>
          <w:tab w:val="left" w:pos="426"/>
        </w:tabs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5C54A5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lastRenderedPageBreak/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A5" w:rsidRDefault="005C54A5" w:rsidP="00A34169">
      <w:pPr>
        <w:spacing w:after="0" w:line="240" w:lineRule="auto"/>
      </w:pPr>
      <w:r>
        <w:separator/>
      </w:r>
    </w:p>
  </w:endnote>
  <w:endnote w:type="continuationSeparator" w:id="0">
    <w:p w:rsidR="005C54A5" w:rsidRDefault="005C54A5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C54A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5C54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A5" w:rsidRDefault="005C54A5" w:rsidP="00A34169">
      <w:pPr>
        <w:spacing w:after="0" w:line="240" w:lineRule="auto"/>
      </w:pPr>
      <w:r>
        <w:separator/>
      </w:r>
    </w:p>
  </w:footnote>
  <w:footnote w:type="continuationSeparator" w:id="0">
    <w:p w:rsidR="005C54A5" w:rsidRDefault="005C54A5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C423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421D2"/>
    <w:rsid w:val="000522C7"/>
    <w:rsid w:val="00055E88"/>
    <w:rsid w:val="000708A4"/>
    <w:rsid w:val="00095056"/>
    <w:rsid w:val="00097696"/>
    <w:rsid w:val="000B2425"/>
    <w:rsid w:val="000C2AC7"/>
    <w:rsid w:val="000C7508"/>
    <w:rsid w:val="00136487"/>
    <w:rsid w:val="00155DBE"/>
    <w:rsid w:val="001A39C2"/>
    <w:rsid w:val="001B70B4"/>
    <w:rsid w:val="001B77E2"/>
    <w:rsid w:val="001F4545"/>
    <w:rsid w:val="00212A7C"/>
    <w:rsid w:val="0022254E"/>
    <w:rsid w:val="002344BD"/>
    <w:rsid w:val="002533AD"/>
    <w:rsid w:val="00254F6D"/>
    <w:rsid w:val="00270061"/>
    <w:rsid w:val="0027190F"/>
    <w:rsid w:val="00295D33"/>
    <w:rsid w:val="002A30B4"/>
    <w:rsid w:val="002A3181"/>
    <w:rsid w:val="002D27CF"/>
    <w:rsid w:val="002D2838"/>
    <w:rsid w:val="00307CFF"/>
    <w:rsid w:val="00321689"/>
    <w:rsid w:val="003236D1"/>
    <w:rsid w:val="003558F8"/>
    <w:rsid w:val="00363A23"/>
    <w:rsid w:val="00370996"/>
    <w:rsid w:val="0037589D"/>
    <w:rsid w:val="003760CE"/>
    <w:rsid w:val="00387092"/>
    <w:rsid w:val="00387457"/>
    <w:rsid w:val="003B661A"/>
    <w:rsid w:val="003C1260"/>
    <w:rsid w:val="003D1498"/>
    <w:rsid w:val="003D3EDF"/>
    <w:rsid w:val="003D6448"/>
    <w:rsid w:val="003E19E1"/>
    <w:rsid w:val="00401030"/>
    <w:rsid w:val="004068AC"/>
    <w:rsid w:val="00420E9C"/>
    <w:rsid w:val="00450B43"/>
    <w:rsid w:val="0046362F"/>
    <w:rsid w:val="00465F6C"/>
    <w:rsid w:val="004673F8"/>
    <w:rsid w:val="00483429"/>
    <w:rsid w:val="00497FFB"/>
    <w:rsid w:val="004A010E"/>
    <w:rsid w:val="004A1BE8"/>
    <w:rsid w:val="00501602"/>
    <w:rsid w:val="00506489"/>
    <w:rsid w:val="00512425"/>
    <w:rsid w:val="00512AC8"/>
    <w:rsid w:val="00532ADB"/>
    <w:rsid w:val="0054734A"/>
    <w:rsid w:val="00564893"/>
    <w:rsid w:val="005743DF"/>
    <w:rsid w:val="005773CC"/>
    <w:rsid w:val="005A27D4"/>
    <w:rsid w:val="005B5E45"/>
    <w:rsid w:val="005C54A5"/>
    <w:rsid w:val="0060356E"/>
    <w:rsid w:val="00606B46"/>
    <w:rsid w:val="00655104"/>
    <w:rsid w:val="006642F8"/>
    <w:rsid w:val="00666A3F"/>
    <w:rsid w:val="0067767E"/>
    <w:rsid w:val="0068298E"/>
    <w:rsid w:val="006847FB"/>
    <w:rsid w:val="00684994"/>
    <w:rsid w:val="006B279C"/>
    <w:rsid w:val="006F39EF"/>
    <w:rsid w:val="00706AAB"/>
    <w:rsid w:val="00750EC0"/>
    <w:rsid w:val="00784DD0"/>
    <w:rsid w:val="007A3AF4"/>
    <w:rsid w:val="007E146C"/>
    <w:rsid w:val="00802BA8"/>
    <w:rsid w:val="00817C1E"/>
    <w:rsid w:val="008309AE"/>
    <w:rsid w:val="00874404"/>
    <w:rsid w:val="008777DF"/>
    <w:rsid w:val="00882456"/>
    <w:rsid w:val="00885CCF"/>
    <w:rsid w:val="008962F4"/>
    <w:rsid w:val="00897802"/>
    <w:rsid w:val="008A118B"/>
    <w:rsid w:val="008C6333"/>
    <w:rsid w:val="008C7FD6"/>
    <w:rsid w:val="008E30D5"/>
    <w:rsid w:val="00902331"/>
    <w:rsid w:val="00902A91"/>
    <w:rsid w:val="009138E0"/>
    <w:rsid w:val="00914A75"/>
    <w:rsid w:val="00915DBB"/>
    <w:rsid w:val="00926079"/>
    <w:rsid w:val="00946898"/>
    <w:rsid w:val="00971263"/>
    <w:rsid w:val="00992ACF"/>
    <w:rsid w:val="0099588A"/>
    <w:rsid w:val="009A0105"/>
    <w:rsid w:val="009A625A"/>
    <w:rsid w:val="009B2555"/>
    <w:rsid w:val="009C592D"/>
    <w:rsid w:val="009D6BB3"/>
    <w:rsid w:val="009E6464"/>
    <w:rsid w:val="00A210C5"/>
    <w:rsid w:val="00A32F3E"/>
    <w:rsid w:val="00A34169"/>
    <w:rsid w:val="00A52801"/>
    <w:rsid w:val="00A53EBE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5156D"/>
    <w:rsid w:val="00B62115"/>
    <w:rsid w:val="00B73473"/>
    <w:rsid w:val="00B863EE"/>
    <w:rsid w:val="00B96E88"/>
    <w:rsid w:val="00BF3B5B"/>
    <w:rsid w:val="00C04EAE"/>
    <w:rsid w:val="00C3021E"/>
    <w:rsid w:val="00C35B5B"/>
    <w:rsid w:val="00C400F0"/>
    <w:rsid w:val="00C77138"/>
    <w:rsid w:val="00C816C8"/>
    <w:rsid w:val="00C9041C"/>
    <w:rsid w:val="00C93B96"/>
    <w:rsid w:val="00C97C51"/>
    <w:rsid w:val="00CB4A34"/>
    <w:rsid w:val="00CC030F"/>
    <w:rsid w:val="00CE7511"/>
    <w:rsid w:val="00CF275F"/>
    <w:rsid w:val="00CF4AB4"/>
    <w:rsid w:val="00D41FBB"/>
    <w:rsid w:val="00D4372D"/>
    <w:rsid w:val="00D8701D"/>
    <w:rsid w:val="00DA0370"/>
    <w:rsid w:val="00DA7DF6"/>
    <w:rsid w:val="00DB7D34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9051E"/>
    <w:rsid w:val="00EA2D46"/>
    <w:rsid w:val="00EB6D64"/>
    <w:rsid w:val="00EC1520"/>
    <w:rsid w:val="00EE1F22"/>
    <w:rsid w:val="00F2012F"/>
    <w:rsid w:val="00F3311D"/>
    <w:rsid w:val="00F53CEF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0387-5FB0-400E-91BD-9CAB05C7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4007</Words>
  <Characters>24046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2</cp:revision>
  <cp:lastPrinted>2025-06-17T11:53:00Z</cp:lastPrinted>
  <dcterms:created xsi:type="dcterms:W3CDTF">2025-07-04T11:01:00Z</dcterms:created>
  <dcterms:modified xsi:type="dcterms:W3CDTF">2025-07-04T11:01:00Z</dcterms:modified>
</cp:coreProperties>
</file>